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0F29" w14:textId="77777777" w:rsidR="00A41548" w:rsidRDefault="008B791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sz w:val="24"/>
          <w:szCs w:val="24"/>
          <w:lang w:val="hr-BA"/>
        </w:rPr>
        <w:t>PITANJA ZU POLAGANJE PISMEN</w:t>
      </w:r>
      <w:r w:rsidR="00A41548">
        <w:rPr>
          <w:rFonts w:ascii="Times New Roman" w:hAnsi="Times New Roman" w:cs="Times New Roman"/>
          <w:sz w:val="24"/>
          <w:szCs w:val="24"/>
          <w:lang w:val="hr-BA"/>
        </w:rPr>
        <w:t xml:space="preserve">OG I USMENOG ISPITA ZA POZICIJU </w:t>
      </w:r>
    </w:p>
    <w:p w14:paraId="6CFF5D32" w14:textId="59AB148B" w:rsidR="008B7912" w:rsidRPr="006622AF" w:rsidRDefault="00C10C02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Rukovodilac Službe unutrašnje zaštite</w:t>
      </w:r>
    </w:p>
    <w:p w14:paraId="75DF986B" w14:textId="455468FD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U smislu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6622AF">
        <w:rPr>
          <w:rFonts w:ascii="Times New Roman" w:hAnsi="Times New Roman" w:cs="Times New Roman"/>
          <w:sz w:val="24"/>
          <w:szCs w:val="24"/>
          <w:lang w:val="bs-Latn-BA"/>
        </w:rPr>
        <w:t>, vatrenim oružjem kratke cijevi smatra se oružje koje ima cijev čija dužina ne prelazi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1DE7274D" w14:textId="1C3E6106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Pravna lica mogu organizirati vlastitu unutrašnju službu za obavljanje poslova zaštite svoje imovine, objekata i prostora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7DB7423" w14:textId="1767EA3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Na osnovu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6622AF">
        <w:rPr>
          <w:rFonts w:ascii="Times New Roman" w:hAnsi="Times New Roman" w:cs="Times New Roman"/>
          <w:sz w:val="24"/>
          <w:szCs w:val="24"/>
          <w:lang w:val="bs-Latn-BA"/>
        </w:rPr>
        <w:t>, evidenciju o licima kojima je izdat ili oduzet certifikat za obavljanje poslova zaštite ljudi i imovine vodi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9034146" w14:textId="6BCEA56F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Novčanom kaznom kaznit će se za prekršaj Agencija i pravno lice koje ima organiziranu unutrašnju službu zaštite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3AAE0E0" w14:textId="3F8D3680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Poslovi zaštite ljudi i imovine podrazumjevaju ulično patroliranje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D81C392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Novčana kazna za pravna lica koja angažiraju lica za obavljanje poslova zaštite bez posjedovanja odobrenja za rad kaznit će se: </w:t>
      </w:r>
    </w:p>
    <w:p w14:paraId="56389BD8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Da li u obavljanju ispekcijskog nadzora inspektor može privremeno, do roka određenog za otklanjanje utvrđenih nepravilnosti, riješenjem zabraniti agenciji, odnosno pravnom licu koje je organiziralo unutrašnju službu zaštite obavljanje poslova fizičke i tehničke zaštite ukoliko utvrdi:</w:t>
      </w:r>
    </w:p>
    <w:p w14:paraId="54BF8535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526636FE" w14:textId="2503C7CD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365887F7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Ukoliko agencija, odnosno pravno lice prestane obavljati poslove predviđene zakonom o unutrašnjoj zaštiti, šta će uraditi Federalno ministarstvo?</w:t>
      </w:r>
    </w:p>
    <w:p w14:paraId="7D64D276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1FEB00D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Objasniti način na koji se vrši posao pratnje i prevoza novca, vrijednosnih pošiljki i drugih dragocjenosti.</w:t>
      </w:r>
    </w:p>
    <w:p w14:paraId="158CEBD7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Tko može obavljati poslove zaštitara ili čuvara?</w:t>
      </w:r>
    </w:p>
    <w:p w14:paraId="5A404A81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Kako se može dobiti certifikat za obavljanje poslova u agenciji za  zaštitu ljudi i imovine u BiH?</w:t>
      </w:r>
    </w:p>
    <w:p w14:paraId="6F7727E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Koje poslove mogu obavljati zaštitari/čuvari sa certifikatom?</w:t>
      </w:r>
    </w:p>
    <w:p w14:paraId="4943B2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Koji poslovi spadaju u djelatnost Agencije za zaštitu ljudi i imovine?</w:t>
      </w:r>
    </w:p>
    <w:p w14:paraId="4535C84F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3B524DF9" w14:textId="477AF374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Šta podrazumjeva </w:t>
      </w:r>
      <w:r w:rsidR="007F1129">
        <w:rPr>
          <w:rFonts w:ascii="Times New Roman" w:hAnsi="Times New Roman" w:cs="Times New Roman"/>
          <w:sz w:val="24"/>
          <w:szCs w:val="24"/>
          <w:lang w:val="bs-Latn-BA"/>
        </w:rPr>
        <w:t>pojam“javna ovlaštenja“ u kontekstu vršenja poslova zaštitara?</w:t>
      </w:r>
    </w:p>
    <w:p w14:paraId="5F862A0A" w14:textId="33A769CA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</w:t>
      </w:r>
      <w:r w:rsidR="00481FC2" w:rsidRPr="006622AF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4AA99B4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19166B1B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kršenje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povezano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0C17B7B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04EE9C5B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prouzrokuje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nadoknađuje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50F0F22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preduslov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vatrenog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čuvara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46858FC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upotrijebi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silu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0CE91963" w14:textId="06769D80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r w:rsidR="00711EE6" w:rsidRPr="006622A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657FB3DE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6F2441BC" w14:textId="2D23C0DC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aganecijama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r w:rsidR="00711EE6"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EE6" w:rsidRPr="006622A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711EE6"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podrazumjeva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odjeća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5CFAAD5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uslov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lice da bi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7D835E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provođenjem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3F2FC8C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27354DA9" w14:textId="4EA94573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Ko propisuje sardžaj, obrasce knjiga i način vođenja evidencija iz člana 48.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7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C2" w:rsidRPr="006622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1FC2"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42F1130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6622A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prestao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F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6622AF">
        <w:rPr>
          <w:rFonts w:ascii="Times New Roman" w:hAnsi="Times New Roman" w:cs="Times New Roman"/>
          <w:sz w:val="24"/>
          <w:szCs w:val="24"/>
        </w:rPr>
        <w:t>?</w:t>
      </w:r>
    </w:p>
    <w:p w14:paraId="3574BE94" w14:textId="77777777" w:rsidR="00E06648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može prilikom poslova fizičke zaštite, učiniti čuvar ako na drugi način ne može odbiti protupravni i neposredni napad koji ugrožava njegov život ili život lica koje osigurava, odnosno štiti ili je napad usmjeren ka uništenju, oštećenju ili otuđenju imovine koju osigurava, odnosno štiti?</w:t>
      </w:r>
    </w:p>
    <w:p w14:paraId="18A19B14" w14:textId="1498536F" w:rsidR="00503E35" w:rsidRDefault="00503E35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je procedura u slučaju kada je zaštitar napadnut i koristi silu koja dovodi do povrede lica koje ga je napalo ?</w:t>
      </w:r>
    </w:p>
    <w:p w14:paraId="5CB65D20" w14:textId="18D9E950" w:rsidR="00503E35" w:rsidRPr="006622AF" w:rsidRDefault="00D05933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je procedura u slučaju kada postoji problem nedostatka osoblja, zaštitara za pokrivanje objekata?</w:t>
      </w:r>
      <w:bookmarkStart w:id="0" w:name="_GoBack"/>
      <w:bookmarkEnd w:id="0"/>
    </w:p>
    <w:p w14:paraId="5ABFF9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11E5A6DE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323F4B38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korištenju karata KJP „ZOI'84“ OCS d.o.o. ukoliko se utvrdi da pojedine osobe vrše preprodaju ili iznajmljivanje ski karata, šta je dužnost uposlenika Službe unutrašnje zaštite?</w:t>
      </w:r>
    </w:p>
    <w:p w14:paraId="6CD7E80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31ECA3EA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1EA313C7" w14:textId="19B1D0BE" w:rsidR="00E06648" w:rsidRPr="009B37CB" w:rsidRDefault="00E06648" w:rsidP="009B37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5C376BA3" w14:textId="044F186D" w:rsidR="00F47B92" w:rsidRPr="006622AF" w:rsidRDefault="00F47B92" w:rsidP="00F47B9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Literatura iz koje kandidati mogu spremati pismeni i usmeni dio ispita :</w:t>
      </w:r>
    </w:p>
    <w:p w14:paraId="6968C245" w14:textId="6FAA8417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1. </w:t>
      </w:r>
      <w:r w:rsidR="009B37CB" w:rsidRPr="009B37CB">
        <w:rPr>
          <w:rFonts w:ascii="Times New Roman" w:hAnsi="Times New Roman" w:cs="Times New Roman"/>
          <w:b/>
          <w:bCs/>
          <w:sz w:val="24"/>
          <w:szCs w:val="24"/>
          <w:lang w:val="hr-BA"/>
        </w:rPr>
        <w:t>Zakon o agencijama i unutrašnjim službama za zaštitu imovine i lica.</w:t>
      </w:r>
    </w:p>
    <w:p w14:paraId="3B1D42FB" w14:textId="0957C349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94DB790" w14:textId="6B37AC5A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Pravilniku o radu KJP „ZOI'84“ OCS d.o.o. Sarajevo</w:t>
      </w:r>
    </w:p>
    <w:p w14:paraId="536B153A" w14:textId="55FD90BF" w:rsidR="00F47B92" w:rsidRPr="006622AF" w:rsidRDefault="00786A8B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4</w:t>
      </w:r>
      <w:r w:rsidR="009F0219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Uredba o postupku prijema radnika u radni odnos u javnom sektoru na teritoriji Kantona Sarajevo </w:t>
      </w:r>
      <w:r w:rsidR="009F0219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 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(„Službene novine broj 19/21</w:t>
      </w:r>
      <w:r w:rsid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“)</w:t>
      </w:r>
    </w:p>
    <w:p w14:paraId="60ED4EF5" w14:textId="77777777" w:rsidR="00F47B92" w:rsidRPr="006622AF" w:rsidRDefault="00F47B92" w:rsidP="009B37CB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14:paraId="574894B3" w14:textId="77777777" w:rsidR="00F47B92" w:rsidRPr="006622AF" w:rsidRDefault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F47B92" w:rsidRPr="006622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C2E70" w14:textId="77777777" w:rsidR="00FC297E" w:rsidRDefault="00FC297E" w:rsidP="009B37CB">
      <w:pPr>
        <w:spacing w:after="0" w:line="240" w:lineRule="auto"/>
      </w:pPr>
      <w:r>
        <w:separator/>
      </w:r>
    </w:p>
  </w:endnote>
  <w:endnote w:type="continuationSeparator" w:id="0">
    <w:p w14:paraId="730CEFF7" w14:textId="77777777" w:rsidR="00FC297E" w:rsidRDefault="00FC297E" w:rsidP="009B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9B37CB" w:rsidRPr="009B37CB" w14:paraId="604D572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4B7E222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40F1971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0F3D8A5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6F2298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532F7FF9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9B37CB" w:rsidRPr="009B37CB" w14:paraId="115C690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12169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0899F31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151078DA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33F90A7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412D40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9B37CB" w:rsidRPr="009B37CB" w14:paraId="2BBE4422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21372291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5B35DE6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3CA20B6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2F9D5806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246A89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9B37CB" w:rsidRPr="009B37CB" w14:paraId="0569AAA9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3D48845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220931E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5CD3FC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3E1426E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262570E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9B37CB" w:rsidRPr="009B37CB" w14:paraId="51D097C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1C4C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36019D2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6F7E49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1F0A8BB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29ED14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9B37CB" w:rsidRPr="009B37CB" w14:paraId="057344A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A5B32EA" w14:textId="77777777" w:rsidR="009B37CB" w:rsidRPr="009B37CB" w:rsidRDefault="009B37CB" w:rsidP="009B37CB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27BD066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19AAD37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497F4B5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37AB4B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2D0652BB" w14:textId="77777777" w:rsidR="009B37CB" w:rsidRDefault="009B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40444" w14:textId="77777777" w:rsidR="00FC297E" w:rsidRDefault="00FC297E" w:rsidP="009B37CB">
      <w:pPr>
        <w:spacing w:after="0" w:line="240" w:lineRule="auto"/>
      </w:pPr>
      <w:r>
        <w:separator/>
      </w:r>
    </w:p>
  </w:footnote>
  <w:footnote w:type="continuationSeparator" w:id="0">
    <w:p w14:paraId="003397CC" w14:textId="77777777" w:rsidR="00FC297E" w:rsidRDefault="00FC297E" w:rsidP="009B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3C1AF" w14:textId="32FFE9D8" w:rsidR="009B37CB" w:rsidRDefault="009B37CB">
    <w:pPr>
      <w:pStyle w:val="Header"/>
    </w:pPr>
    <w:r w:rsidRPr="00D317B7">
      <w:rPr>
        <w:noProof/>
      </w:rPr>
      <w:drawing>
        <wp:inline distT="0" distB="0" distL="0" distR="0" wp14:anchorId="2AD86A79" wp14:editId="5BC6FB56">
          <wp:extent cx="5943600" cy="1259205"/>
          <wp:effectExtent l="0" t="0" r="0" b="0"/>
          <wp:docPr id="1" name="Picture 1" descr="ZOI84-OC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I84-OC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2"/>
    <w:rsid w:val="000C6962"/>
    <w:rsid w:val="00236A8F"/>
    <w:rsid w:val="00285E04"/>
    <w:rsid w:val="00306C60"/>
    <w:rsid w:val="003E65B4"/>
    <w:rsid w:val="00481FC2"/>
    <w:rsid w:val="004F69DC"/>
    <w:rsid w:val="00503E35"/>
    <w:rsid w:val="00643A0A"/>
    <w:rsid w:val="006622AF"/>
    <w:rsid w:val="006A5731"/>
    <w:rsid w:val="006E5288"/>
    <w:rsid w:val="00711EE6"/>
    <w:rsid w:val="00786A8B"/>
    <w:rsid w:val="007F1129"/>
    <w:rsid w:val="008B7912"/>
    <w:rsid w:val="009B37CB"/>
    <w:rsid w:val="009B54B9"/>
    <w:rsid w:val="009F0219"/>
    <w:rsid w:val="00A41548"/>
    <w:rsid w:val="00B3795A"/>
    <w:rsid w:val="00BB4D7C"/>
    <w:rsid w:val="00C10C02"/>
    <w:rsid w:val="00CF7D4E"/>
    <w:rsid w:val="00D05933"/>
    <w:rsid w:val="00D31DC0"/>
    <w:rsid w:val="00D6364D"/>
    <w:rsid w:val="00E06648"/>
    <w:rsid w:val="00E21311"/>
    <w:rsid w:val="00F47B92"/>
    <w:rsid w:val="00F96E54"/>
    <w:rsid w:val="00FC297E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5FD0"/>
  <w15:chartTrackingRefBased/>
  <w15:docId w15:val="{5C237602-FAEC-4A95-BC42-C2387A5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1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CB"/>
  </w:style>
  <w:style w:type="paragraph" w:styleId="Footer">
    <w:name w:val="footer"/>
    <w:basedOn w:val="Normal"/>
    <w:link w:val="Foot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Aldin</cp:lastModifiedBy>
  <cp:revision>2</cp:revision>
  <dcterms:created xsi:type="dcterms:W3CDTF">2026-04-23T12:46:00Z</dcterms:created>
  <dcterms:modified xsi:type="dcterms:W3CDTF">2026-04-23T12:46:00Z</dcterms:modified>
</cp:coreProperties>
</file>